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2DC04A9A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0AD10E7" w14:textId="675B17D6" w:rsidR="00E66134" w:rsidRPr="00CF0611" w:rsidRDefault="00CF0611" w:rsidP="002B0BB8">
      <w:pPr>
        <w:bidi/>
        <w:jc w:val="center"/>
        <w:rPr>
          <w:rFonts w:ascii="IranNastaliq" w:hAnsi="IranNastaliq" w:cs="IranNastaliq"/>
          <w:noProof/>
          <w:color w:val="000000" w:themeColor="text1"/>
          <w:sz w:val="32"/>
          <w:szCs w:val="32"/>
          <w:lang w:bidi="fa-IR"/>
        </w:rPr>
      </w:pP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فراخوان </w:t>
      </w:r>
      <w:r w:rsidR="002B0BB8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سوم</w:t>
      </w:r>
      <w:bookmarkStart w:id="0" w:name="_GoBack"/>
      <w:bookmarkEnd w:id="0"/>
      <w:r w:rsidR="00816072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 xml:space="preserve"> </w:t>
      </w: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سال </w:t>
      </w:r>
      <w:r w:rsidR="00816072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99</w:t>
      </w:r>
    </w:p>
    <w:p w14:paraId="7819DB81" w14:textId="0B472069" w:rsidR="00CF0611" w:rsidRDefault="00F14EC5" w:rsidP="00CF0611">
      <w:pPr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  <w:br w:type="page"/>
      </w:r>
    </w:p>
    <w:p w14:paraId="551A70EE" w14:textId="77777777" w:rsidR="00855229" w:rsidRPr="0038091F" w:rsidRDefault="00855229" w:rsidP="00855229">
      <w:pPr>
        <w:bidi/>
        <w:rPr>
          <w:rFonts w:ascii="Times New Roman" w:hAnsi="Times New Roman" w:cs="B Lotus"/>
          <w:color w:val="000000" w:themeColor="text1"/>
          <w:sz w:val="28"/>
          <w:szCs w:val="28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1C2CB467" w14:textId="77777777" w:rsidR="00B425E9" w:rsidRPr="00B425E9" w:rsidRDefault="00B425E9" w:rsidP="00B425E9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left="360" w:right="165"/>
        <w:jc w:val="both"/>
        <w:rPr>
          <w:rFonts w:cs="B Nazanin"/>
          <w:sz w:val="26"/>
          <w:szCs w:val="26"/>
          <w:lang w:bidi="fa-IR"/>
        </w:rPr>
      </w:pPr>
      <w:r w:rsidRPr="00B425E9">
        <w:rPr>
          <w:rFonts w:cs="B Nazanin" w:hint="cs"/>
          <w:sz w:val="26"/>
          <w:szCs w:val="26"/>
          <w:rtl/>
          <w:lang w:bidi="fa-IR"/>
        </w:rPr>
        <w:t xml:space="preserve">حداکثر مبلغ حمایت از این طرح‌ها 7/1 برابر مجموع میزان حمایت از پایان‌نامه‌های کارشناسی ارشد و 2 برابر مجموع میزان حمایت از پایان‌نامه‌های دکتری طراحی شده در آن مطابق </w:t>
      </w:r>
      <w:hyperlink r:id="rId9" w:history="1">
        <w:r w:rsidRPr="00B425E9">
          <w:rPr>
            <w:rStyle w:val="Hyperlink"/>
            <w:rFonts w:cs="B Nazanin" w:hint="cs"/>
            <w:sz w:val="26"/>
            <w:szCs w:val="26"/>
            <w:rtl/>
          </w:rPr>
          <w:t>آیین‌نامه حمایت از پایان‌نامه‌های کارشناسی ارشد و دکترا</w:t>
        </w:r>
      </w:hyperlink>
      <w:r w:rsidRPr="00B425E9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B425E9">
        <w:rPr>
          <w:rFonts w:cs="B Nazanin" w:hint="cs"/>
          <w:sz w:val="26"/>
          <w:szCs w:val="26"/>
          <w:rtl/>
          <w:lang w:bidi="fa-IR"/>
        </w:rPr>
        <w:t>و تا سقف 600 میلیون ریال خواهد بود. حداقل میزان حق</w:t>
      </w:r>
      <w:r w:rsidRPr="00B425E9">
        <w:rPr>
          <w:rFonts w:cs="B Nazanin" w:hint="cs"/>
          <w:sz w:val="26"/>
          <w:szCs w:val="26"/>
          <w:rtl/>
          <w:lang w:bidi="fa-IR"/>
        </w:rPr>
        <w:softHyphen/>
        <w:t xml:space="preserve">الزحمه دانشجویان، مبلغ پیش بینی شده در آیین نامه حمایت از پایان‌نامه‌های تحصیلات تکمیلی ستاد بوده و توسط مجری از محل بودجه طرح پرداخت خواهد شد. 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1D61" w14:textId="77777777" w:rsidR="006B5A1A" w:rsidRPr="00317380" w:rsidRDefault="006B5A1A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4093F16" w14:textId="77777777" w:rsidR="006B5A1A" w:rsidRPr="00317380" w:rsidRDefault="006B5A1A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57369DA2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B0BB8">
      <w:rPr>
        <w:rFonts w:ascii="Zar" w:hAnsi="Zar" w:cs="Zar"/>
        <w:noProof/>
        <w:rtl/>
      </w:rPr>
      <w:t>11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812F" w14:textId="77777777" w:rsidR="006B5A1A" w:rsidRPr="00317380" w:rsidRDefault="006B5A1A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00B7676D" w14:textId="77777777" w:rsidR="006B5A1A" w:rsidRPr="00317380" w:rsidRDefault="006B5A1A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nnano.org/filereader.php?p1=main_aab3238922bcc25a6f606eb525ffdc56.pdf&amp;p2=static_page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734-95D8-4E7A-B290-9F47964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Asus</cp:lastModifiedBy>
  <cp:revision>16</cp:revision>
  <dcterms:created xsi:type="dcterms:W3CDTF">2015-10-07T10:33:00Z</dcterms:created>
  <dcterms:modified xsi:type="dcterms:W3CDTF">2020-10-30T21:56:00Z</dcterms:modified>
</cp:coreProperties>
</file>